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25E" w:rsidRDefault="001A32BB">
      <w:pPr>
        <w:spacing w:before="99"/>
        <w:ind w:left="1802"/>
        <w:rPr>
          <w:b/>
          <w:sz w:val="20"/>
        </w:rPr>
      </w:pPr>
      <w:r>
        <w:rPr>
          <w:b/>
          <w:sz w:val="20"/>
          <w:u w:val="thick"/>
        </w:rPr>
        <w:t>Notes for students attending a Major Malpractice Panel of Inquiry</w:t>
      </w:r>
    </w:p>
    <w:p w:rsidR="00B3125E" w:rsidRDefault="00B3125E">
      <w:pPr>
        <w:pStyle w:val="BodyText"/>
        <w:rPr>
          <w:b/>
        </w:rPr>
      </w:pPr>
    </w:p>
    <w:p w:rsidR="00B3125E" w:rsidRDefault="001A32BB">
      <w:pPr>
        <w:pStyle w:val="BodyText"/>
        <w:spacing w:before="102" w:line="237" w:lineRule="auto"/>
        <w:ind w:left="109"/>
      </w:pPr>
      <w:r>
        <w:t xml:space="preserve">Your case </w:t>
      </w:r>
      <w:proofErr w:type="gramStart"/>
      <w:r>
        <w:t>will be considered</w:t>
      </w:r>
      <w:proofErr w:type="gramEnd"/>
      <w:r>
        <w:t xml:space="preserve"> in line with the Academic Regulations, Procedures and Processes as stated </w:t>
      </w:r>
      <w:hyperlink r:id="rId7">
        <w:r>
          <w:rPr>
            <w:color w:val="0000FF"/>
            <w:u w:val="single" w:color="0000FF"/>
          </w:rPr>
          <w:t>here</w:t>
        </w:r>
      </w:hyperlink>
      <w:r>
        <w:t>.</w:t>
      </w:r>
    </w:p>
    <w:p w:rsidR="00B3125E" w:rsidRDefault="00B3125E">
      <w:pPr>
        <w:pStyle w:val="BodyText"/>
        <w:spacing w:before="2"/>
        <w:rPr>
          <w:sz w:val="19"/>
        </w:rPr>
      </w:pPr>
    </w:p>
    <w:p w:rsidR="00B3125E" w:rsidRDefault="001A32BB">
      <w:pPr>
        <w:pStyle w:val="BodyText"/>
        <w:ind w:left="109"/>
      </w:pPr>
      <w:r>
        <w:t>You have the right to appear before the Panel as per your email invitation:</w:t>
      </w:r>
    </w:p>
    <w:p w:rsidR="00B3125E" w:rsidRDefault="00B3125E">
      <w:pPr>
        <w:pStyle w:val="BodyText"/>
        <w:spacing w:before="6"/>
        <w:rPr>
          <w:sz w:val="19"/>
        </w:rPr>
      </w:pPr>
    </w:p>
    <w:p w:rsidR="00B3125E" w:rsidRDefault="001A32BB">
      <w:pPr>
        <w:pStyle w:val="ListParagraph"/>
        <w:numPr>
          <w:ilvl w:val="0"/>
          <w:numId w:val="2"/>
        </w:numPr>
        <w:tabs>
          <w:tab w:val="left" w:pos="1729"/>
          <w:tab w:val="left" w:pos="1730"/>
        </w:tabs>
        <w:ind w:right="0"/>
        <w:rPr>
          <w:sz w:val="20"/>
        </w:rPr>
      </w:pPr>
      <w:r>
        <w:rPr>
          <w:sz w:val="20"/>
        </w:rPr>
        <w:t>you may be accompanied by a friend, or member of the</w:t>
      </w:r>
      <w:hyperlink r:id="rId8">
        <w:r>
          <w:rPr>
            <w:color w:val="0000FF"/>
            <w:sz w:val="20"/>
            <w:u w:val="single" w:color="0000FF"/>
          </w:rPr>
          <w:t xml:space="preserve"> Students’</w:t>
        </w:r>
        <w:r>
          <w:rPr>
            <w:color w:val="0000FF"/>
            <w:spacing w:val="-11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Union</w:t>
        </w:r>
      </w:hyperlink>
    </w:p>
    <w:p w:rsidR="00B3125E" w:rsidRDefault="00B3125E">
      <w:pPr>
        <w:pStyle w:val="BodyText"/>
        <w:spacing w:before="6"/>
        <w:rPr>
          <w:sz w:val="19"/>
        </w:rPr>
      </w:pPr>
    </w:p>
    <w:p w:rsidR="00B3125E" w:rsidRDefault="001A32BB">
      <w:pPr>
        <w:pStyle w:val="ListParagraph"/>
        <w:numPr>
          <w:ilvl w:val="0"/>
          <w:numId w:val="2"/>
        </w:numPr>
        <w:tabs>
          <w:tab w:val="left" w:pos="1729"/>
          <w:tab w:val="left" w:pos="1730"/>
        </w:tabs>
        <w:ind w:right="0"/>
        <w:rPr>
          <w:sz w:val="20"/>
        </w:rPr>
      </w:pPr>
      <w:r>
        <w:rPr>
          <w:sz w:val="20"/>
        </w:rPr>
        <w:t>only one person may accompany</w:t>
      </w:r>
      <w:r>
        <w:rPr>
          <w:spacing w:val="-3"/>
          <w:sz w:val="20"/>
        </w:rPr>
        <w:t xml:space="preserve"> </w:t>
      </w:r>
      <w:r>
        <w:rPr>
          <w:sz w:val="20"/>
        </w:rPr>
        <w:t>you;</w:t>
      </w:r>
    </w:p>
    <w:p w:rsidR="00B3125E" w:rsidRDefault="00B3125E">
      <w:pPr>
        <w:pStyle w:val="BodyText"/>
        <w:spacing w:before="8"/>
        <w:rPr>
          <w:sz w:val="19"/>
        </w:rPr>
      </w:pPr>
    </w:p>
    <w:p w:rsidR="00B3125E" w:rsidRDefault="001A32BB">
      <w:pPr>
        <w:pStyle w:val="ListParagraph"/>
        <w:numPr>
          <w:ilvl w:val="0"/>
          <w:numId w:val="2"/>
        </w:numPr>
        <w:tabs>
          <w:tab w:val="left" w:pos="1810"/>
        </w:tabs>
        <w:spacing w:line="237" w:lineRule="auto"/>
        <w:ind w:left="1814" w:hanging="845"/>
        <w:rPr>
          <w:sz w:val="20"/>
        </w:rPr>
      </w:pPr>
      <w:r>
        <w:rPr>
          <w:sz w:val="20"/>
        </w:rPr>
        <w:t>you may call up to a w</w:t>
      </w:r>
      <w:r>
        <w:rPr>
          <w:sz w:val="20"/>
        </w:rPr>
        <w:t>itness to support your position, but you must inform the Secretary of the Panel of the names of your witness, prior to the meeting (at least 24 hours before the</w:t>
      </w:r>
      <w:r>
        <w:rPr>
          <w:spacing w:val="-3"/>
          <w:sz w:val="20"/>
        </w:rPr>
        <w:t xml:space="preserve"> </w:t>
      </w:r>
      <w:r>
        <w:rPr>
          <w:sz w:val="20"/>
        </w:rPr>
        <w:t>meeting)</w:t>
      </w:r>
    </w:p>
    <w:p w:rsidR="00B3125E" w:rsidRDefault="00B3125E">
      <w:pPr>
        <w:pStyle w:val="BodyText"/>
        <w:spacing w:before="8"/>
        <w:rPr>
          <w:sz w:val="19"/>
        </w:rPr>
      </w:pPr>
    </w:p>
    <w:p w:rsidR="00B3125E" w:rsidRDefault="001A32BB">
      <w:pPr>
        <w:pStyle w:val="ListParagraph"/>
        <w:numPr>
          <w:ilvl w:val="0"/>
          <w:numId w:val="1"/>
        </w:numPr>
        <w:tabs>
          <w:tab w:val="left" w:pos="963"/>
        </w:tabs>
        <w:spacing w:line="237" w:lineRule="auto"/>
        <w:ind w:right="116"/>
        <w:rPr>
          <w:sz w:val="20"/>
        </w:rPr>
      </w:pPr>
      <w:r>
        <w:rPr>
          <w:sz w:val="20"/>
        </w:rPr>
        <w:t xml:space="preserve">If you are unable to attend because of ill health or exceptional circumstances, the Panel </w:t>
      </w:r>
      <w:proofErr w:type="gramStart"/>
      <w:r>
        <w:rPr>
          <w:sz w:val="20"/>
        </w:rPr>
        <w:t>may be reconvened</w:t>
      </w:r>
      <w:proofErr w:type="gramEnd"/>
      <w:r>
        <w:rPr>
          <w:sz w:val="20"/>
        </w:rPr>
        <w:t xml:space="preserve"> on another date. However, if you fail to attend without significant cause, the Panel will proceed to investigate the matter in your</w:t>
      </w:r>
      <w:r>
        <w:rPr>
          <w:spacing w:val="-9"/>
          <w:sz w:val="20"/>
        </w:rPr>
        <w:t xml:space="preserve"> </w:t>
      </w:r>
      <w:r>
        <w:rPr>
          <w:sz w:val="20"/>
        </w:rPr>
        <w:t>absence.</w:t>
      </w:r>
    </w:p>
    <w:p w:rsidR="00B3125E" w:rsidRDefault="00B3125E">
      <w:pPr>
        <w:pStyle w:val="BodyText"/>
        <w:spacing w:before="7"/>
        <w:rPr>
          <w:sz w:val="19"/>
        </w:rPr>
      </w:pPr>
    </w:p>
    <w:p w:rsidR="00B3125E" w:rsidRDefault="001A32BB">
      <w:pPr>
        <w:pStyle w:val="ListParagraph"/>
        <w:numPr>
          <w:ilvl w:val="0"/>
          <w:numId w:val="1"/>
        </w:numPr>
        <w:tabs>
          <w:tab w:val="left" w:pos="963"/>
        </w:tabs>
        <w:spacing w:line="237" w:lineRule="auto"/>
        <w:ind w:hanging="714"/>
        <w:rPr>
          <w:sz w:val="20"/>
        </w:rPr>
      </w:pPr>
      <w:r>
        <w:rPr>
          <w:sz w:val="20"/>
        </w:rPr>
        <w:t>If you</w:t>
      </w:r>
      <w:r>
        <w:rPr>
          <w:sz w:val="20"/>
        </w:rPr>
        <w:t xml:space="preserve"> wish to acknowledge that malpractice has </w:t>
      </w:r>
      <w:proofErr w:type="gramStart"/>
      <w:r>
        <w:rPr>
          <w:sz w:val="20"/>
        </w:rPr>
        <w:t>occurred</w:t>
      </w:r>
      <w:proofErr w:type="gramEnd"/>
      <w:r>
        <w:rPr>
          <w:sz w:val="20"/>
        </w:rPr>
        <w:t xml:space="preserve"> you may do so in writing (on the above pro-forma) to the Secretary of the Panel. If you do so, you may still appear before the Panel for the formal presentation of evidence and for examination of the evide</w:t>
      </w:r>
      <w:r>
        <w:rPr>
          <w:sz w:val="20"/>
        </w:rPr>
        <w:t>nce by the Panel. If such correspondence is not received, the panel will assume that you do not acknowledge that malpractice has occurred</w:t>
      </w:r>
      <w:r>
        <w:rPr>
          <w:spacing w:val="-8"/>
          <w:sz w:val="20"/>
        </w:rPr>
        <w:t xml:space="preserve"> </w:t>
      </w:r>
      <w:r>
        <w:rPr>
          <w:sz w:val="20"/>
        </w:rPr>
        <w:t>(7.6.3(viii))</w:t>
      </w:r>
    </w:p>
    <w:p w:rsidR="00B3125E" w:rsidRDefault="00B3125E">
      <w:pPr>
        <w:pStyle w:val="BodyText"/>
        <w:spacing w:before="6"/>
        <w:rPr>
          <w:sz w:val="19"/>
        </w:rPr>
      </w:pPr>
    </w:p>
    <w:p w:rsidR="00B3125E" w:rsidRDefault="001A32BB">
      <w:pPr>
        <w:pStyle w:val="ListParagraph"/>
        <w:numPr>
          <w:ilvl w:val="0"/>
          <w:numId w:val="1"/>
        </w:numPr>
        <w:tabs>
          <w:tab w:val="left" w:pos="963"/>
        </w:tabs>
        <w:spacing w:line="237" w:lineRule="auto"/>
        <w:ind w:right="115"/>
        <w:rPr>
          <w:sz w:val="20"/>
        </w:rPr>
      </w:pPr>
      <w:r>
        <w:rPr>
          <w:sz w:val="20"/>
        </w:rPr>
        <w:t>If you wish to contest that malpractice has occurred, you should do so in writing to the Secretary of t</w:t>
      </w:r>
      <w:r>
        <w:rPr>
          <w:sz w:val="20"/>
        </w:rPr>
        <w:t>he</w:t>
      </w:r>
      <w:r>
        <w:rPr>
          <w:spacing w:val="-1"/>
          <w:sz w:val="20"/>
        </w:rPr>
        <w:t xml:space="preserve"> </w:t>
      </w:r>
      <w:r>
        <w:rPr>
          <w:sz w:val="20"/>
        </w:rPr>
        <w:t>Panel.</w:t>
      </w:r>
    </w:p>
    <w:p w:rsidR="00B3125E" w:rsidRDefault="00B3125E">
      <w:pPr>
        <w:pStyle w:val="BodyText"/>
        <w:spacing w:before="8"/>
        <w:rPr>
          <w:sz w:val="19"/>
        </w:rPr>
      </w:pPr>
    </w:p>
    <w:p w:rsidR="00B3125E" w:rsidRDefault="001A32BB">
      <w:pPr>
        <w:pStyle w:val="ListParagraph"/>
        <w:numPr>
          <w:ilvl w:val="0"/>
          <w:numId w:val="1"/>
        </w:numPr>
        <w:tabs>
          <w:tab w:val="left" w:pos="963"/>
        </w:tabs>
        <w:spacing w:line="237" w:lineRule="auto"/>
        <w:ind w:right="117"/>
        <w:rPr>
          <w:sz w:val="20"/>
        </w:rPr>
      </w:pPr>
      <w:r>
        <w:rPr>
          <w:sz w:val="20"/>
        </w:rPr>
        <w:t>You will be entitled at the meeting to make an opening statement, to give evidence, to call witnesses and to address the</w:t>
      </w:r>
      <w:r>
        <w:rPr>
          <w:spacing w:val="-2"/>
          <w:sz w:val="20"/>
        </w:rPr>
        <w:t xml:space="preserve"> </w:t>
      </w:r>
      <w:r>
        <w:rPr>
          <w:sz w:val="20"/>
        </w:rPr>
        <w:t>Panel.</w:t>
      </w:r>
    </w:p>
    <w:p w:rsidR="00B3125E" w:rsidRDefault="00B3125E">
      <w:pPr>
        <w:pStyle w:val="BodyText"/>
        <w:spacing w:before="8"/>
        <w:rPr>
          <w:sz w:val="19"/>
        </w:rPr>
      </w:pPr>
    </w:p>
    <w:p w:rsidR="00B3125E" w:rsidRDefault="001A32BB">
      <w:pPr>
        <w:pStyle w:val="ListParagraph"/>
        <w:numPr>
          <w:ilvl w:val="0"/>
          <w:numId w:val="1"/>
        </w:numPr>
        <w:tabs>
          <w:tab w:val="left" w:pos="963"/>
        </w:tabs>
        <w:spacing w:line="237" w:lineRule="auto"/>
        <w:ind w:right="119"/>
        <w:rPr>
          <w:sz w:val="20"/>
        </w:rPr>
      </w:pPr>
      <w:r>
        <w:rPr>
          <w:sz w:val="20"/>
        </w:rPr>
        <w:t xml:space="preserve">The Panel may hear evidence in any way it sees fit. This includes the testimony of </w:t>
      </w:r>
      <w:proofErr w:type="gramStart"/>
      <w:r>
        <w:rPr>
          <w:sz w:val="20"/>
        </w:rPr>
        <w:t>witnesses</w:t>
      </w:r>
      <w:proofErr w:type="gramEnd"/>
      <w:r>
        <w:rPr>
          <w:sz w:val="20"/>
        </w:rPr>
        <w:t xml:space="preserve"> and the production of documents or other relevant material</w:t>
      </w:r>
      <w:r>
        <w:rPr>
          <w:spacing w:val="-11"/>
          <w:sz w:val="20"/>
        </w:rPr>
        <w:t xml:space="preserve"> </w:t>
      </w:r>
      <w:r>
        <w:rPr>
          <w:sz w:val="20"/>
        </w:rPr>
        <w:t>evidence.</w:t>
      </w:r>
    </w:p>
    <w:p w:rsidR="00B3125E" w:rsidRDefault="00B3125E">
      <w:pPr>
        <w:pStyle w:val="BodyText"/>
        <w:spacing w:before="8"/>
        <w:rPr>
          <w:sz w:val="19"/>
        </w:rPr>
      </w:pPr>
    </w:p>
    <w:p w:rsidR="00B3125E" w:rsidRDefault="001A32BB">
      <w:pPr>
        <w:pStyle w:val="ListParagraph"/>
        <w:numPr>
          <w:ilvl w:val="0"/>
          <w:numId w:val="1"/>
        </w:numPr>
        <w:tabs>
          <w:tab w:val="left" w:pos="963"/>
        </w:tabs>
        <w:spacing w:line="237" w:lineRule="auto"/>
        <w:ind w:right="119"/>
        <w:rPr>
          <w:sz w:val="20"/>
        </w:rPr>
      </w:pPr>
      <w:r>
        <w:rPr>
          <w:sz w:val="20"/>
        </w:rPr>
        <w:t xml:space="preserve">Following the </w:t>
      </w:r>
      <w:proofErr w:type="gramStart"/>
      <w:r>
        <w:rPr>
          <w:sz w:val="20"/>
        </w:rPr>
        <w:t>meeting</w:t>
      </w:r>
      <w:proofErr w:type="gramEnd"/>
      <w:r>
        <w:rPr>
          <w:sz w:val="20"/>
        </w:rPr>
        <w:t xml:space="preserve"> a report and recommendations will be compiled for the Module Assessment</w:t>
      </w:r>
      <w:r>
        <w:rPr>
          <w:sz w:val="20"/>
        </w:rPr>
        <w:t xml:space="preserve"> Board. The outcome of the Panel’s considerations and recommendations </w:t>
      </w:r>
      <w:proofErr w:type="gramStart"/>
      <w:r>
        <w:rPr>
          <w:sz w:val="20"/>
        </w:rPr>
        <w:t>will be communicated</w:t>
      </w:r>
      <w:proofErr w:type="gramEnd"/>
      <w:r>
        <w:rPr>
          <w:sz w:val="20"/>
        </w:rPr>
        <w:t xml:space="preserve"> to you in writing as soon as possible after the</w:t>
      </w:r>
      <w:r>
        <w:rPr>
          <w:spacing w:val="-12"/>
          <w:sz w:val="20"/>
        </w:rPr>
        <w:t xml:space="preserve"> </w:t>
      </w:r>
      <w:r>
        <w:rPr>
          <w:sz w:val="20"/>
        </w:rPr>
        <w:t>meeting.</w:t>
      </w:r>
    </w:p>
    <w:p w:rsidR="00B3125E" w:rsidRDefault="00B3125E">
      <w:pPr>
        <w:pStyle w:val="BodyText"/>
        <w:spacing w:before="7"/>
        <w:rPr>
          <w:sz w:val="19"/>
        </w:rPr>
      </w:pPr>
    </w:p>
    <w:p w:rsidR="00B3125E" w:rsidRDefault="001A32BB">
      <w:pPr>
        <w:pStyle w:val="ListParagraph"/>
        <w:numPr>
          <w:ilvl w:val="0"/>
          <w:numId w:val="1"/>
        </w:numPr>
        <w:tabs>
          <w:tab w:val="left" w:pos="963"/>
        </w:tabs>
        <w:spacing w:line="237" w:lineRule="auto"/>
        <w:ind w:right="105"/>
        <w:rPr>
          <w:sz w:val="20"/>
        </w:rPr>
      </w:pPr>
      <w:r>
        <w:rPr>
          <w:sz w:val="20"/>
        </w:rPr>
        <w:t xml:space="preserve">If malpractice </w:t>
      </w:r>
      <w:proofErr w:type="gramStart"/>
      <w:r>
        <w:rPr>
          <w:sz w:val="20"/>
        </w:rPr>
        <w:t>has been found</w:t>
      </w:r>
      <w:proofErr w:type="gramEnd"/>
      <w:r>
        <w:rPr>
          <w:sz w:val="20"/>
        </w:rPr>
        <w:t>, the Module Assessment Board of Examiners has the responsibility for determin</w:t>
      </w:r>
      <w:r>
        <w:rPr>
          <w:sz w:val="20"/>
        </w:rPr>
        <w:t xml:space="preserve">ing the penalty. A plea of mitigation </w:t>
      </w:r>
      <w:proofErr w:type="gramStart"/>
      <w:r>
        <w:rPr>
          <w:sz w:val="20"/>
        </w:rPr>
        <w:t>may be sent</w:t>
      </w:r>
      <w:proofErr w:type="gramEnd"/>
      <w:r>
        <w:rPr>
          <w:sz w:val="20"/>
        </w:rPr>
        <w:t xml:space="preserve"> to the Chair of the Panel, but there are no further rights of personal</w:t>
      </w:r>
      <w:r>
        <w:rPr>
          <w:spacing w:val="-10"/>
          <w:sz w:val="20"/>
        </w:rPr>
        <w:t xml:space="preserve"> </w:t>
      </w:r>
      <w:r>
        <w:rPr>
          <w:sz w:val="20"/>
        </w:rPr>
        <w:t>representation.</w:t>
      </w:r>
    </w:p>
    <w:p w:rsidR="00B3125E" w:rsidRDefault="00B3125E">
      <w:pPr>
        <w:pStyle w:val="BodyText"/>
        <w:spacing w:before="8"/>
        <w:rPr>
          <w:sz w:val="19"/>
        </w:rPr>
      </w:pPr>
    </w:p>
    <w:p w:rsidR="00B3125E" w:rsidRDefault="001A32BB">
      <w:pPr>
        <w:pStyle w:val="ListParagraph"/>
        <w:numPr>
          <w:ilvl w:val="0"/>
          <w:numId w:val="1"/>
        </w:numPr>
        <w:tabs>
          <w:tab w:val="left" w:pos="963"/>
        </w:tabs>
        <w:spacing w:line="237" w:lineRule="auto"/>
        <w:rPr>
          <w:sz w:val="20"/>
        </w:rPr>
      </w:pPr>
      <w:r>
        <w:rPr>
          <w:sz w:val="20"/>
        </w:rPr>
        <w:t>Recommendations of the Module Assessment Boards of Examiners shall be subject to endorsement by the University Assessment</w:t>
      </w:r>
      <w:r>
        <w:rPr>
          <w:spacing w:val="-4"/>
          <w:sz w:val="20"/>
        </w:rPr>
        <w:t xml:space="preserve"> </w:t>
      </w:r>
      <w:r>
        <w:rPr>
          <w:sz w:val="20"/>
        </w:rPr>
        <w:t>Board.</w:t>
      </w:r>
    </w:p>
    <w:p w:rsidR="00B3125E" w:rsidRDefault="00B3125E">
      <w:pPr>
        <w:pStyle w:val="BodyText"/>
        <w:spacing w:before="8"/>
        <w:rPr>
          <w:sz w:val="19"/>
        </w:rPr>
      </w:pPr>
    </w:p>
    <w:p w:rsidR="00B3125E" w:rsidRDefault="001A32BB">
      <w:pPr>
        <w:pStyle w:val="ListParagraph"/>
        <w:numPr>
          <w:ilvl w:val="0"/>
          <w:numId w:val="1"/>
        </w:numPr>
        <w:tabs>
          <w:tab w:val="left" w:pos="963"/>
        </w:tabs>
        <w:spacing w:line="237" w:lineRule="auto"/>
        <w:ind w:right="112"/>
        <w:rPr>
          <w:sz w:val="20"/>
        </w:rPr>
      </w:pPr>
      <w:r>
        <w:rPr>
          <w:sz w:val="20"/>
        </w:rPr>
        <w:t>You have the right to appeal against the decision if you believe there may have been administrative error or procedural /regul</w:t>
      </w:r>
      <w:r>
        <w:rPr>
          <w:sz w:val="20"/>
        </w:rPr>
        <w:t>atory irregularity under the University’s Academic Appeals procedure</w:t>
      </w:r>
      <w:r>
        <w:rPr>
          <w:color w:val="0000FF"/>
          <w:spacing w:val="-5"/>
          <w:sz w:val="20"/>
        </w:rPr>
        <w:t xml:space="preserve"> </w:t>
      </w:r>
      <w:hyperlink r:id="rId9">
        <w:r>
          <w:rPr>
            <w:color w:val="0000FF"/>
            <w:sz w:val="20"/>
            <w:u w:val="single" w:color="0000FF"/>
          </w:rPr>
          <w:t>here</w:t>
        </w:r>
      </w:hyperlink>
      <w:r>
        <w:rPr>
          <w:sz w:val="20"/>
        </w:rPr>
        <w:t>.</w:t>
      </w:r>
    </w:p>
    <w:p w:rsidR="00B3125E" w:rsidRDefault="00B3125E">
      <w:pPr>
        <w:pStyle w:val="BodyText"/>
        <w:spacing w:before="7"/>
        <w:rPr>
          <w:sz w:val="19"/>
        </w:rPr>
      </w:pPr>
    </w:p>
    <w:p w:rsidR="00B3125E" w:rsidRDefault="001A32BB">
      <w:pPr>
        <w:pStyle w:val="ListParagraph"/>
        <w:numPr>
          <w:ilvl w:val="0"/>
          <w:numId w:val="1"/>
        </w:numPr>
        <w:tabs>
          <w:tab w:val="left" w:pos="963"/>
        </w:tabs>
        <w:spacing w:line="237" w:lineRule="auto"/>
        <w:rPr>
          <w:sz w:val="20"/>
        </w:rPr>
      </w:pPr>
      <w:r>
        <w:rPr>
          <w:sz w:val="20"/>
        </w:rPr>
        <w:t>You may wish to consult with the</w:t>
      </w:r>
      <w:hyperlink r:id="rId10">
        <w:r>
          <w:rPr>
            <w:color w:val="0000FF"/>
            <w:sz w:val="20"/>
            <w:u w:val="single" w:color="0000FF"/>
          </w:rPr>
          <w:t xml:space="preserve"> S</w:t>
        </w:r>
        <w:r>
          <w:rPr>
            <w:color w:val="0000FF"/>
            <w:sz w:val="20"/>
            <w:u w:val="single" w:color="0000FF"/>
          </w:rPr>
          <w:t>tudents’ Union</w:t>
        </w:r>
        <w:r>
          <w:rPr>
            <w:color w:val="0000FF"/>
            <w:sz w:val="20"/>
          </w:rPr>
          <w:t xml:space="preserve"> </w:t>
        </w:r>
      </w:hyperlink>
      <w:r>
        <w:rPr>
          <w:sz w:val="20"/>
        </w:rPr>
        <w:t>or your Personal/Academic Tutor for further advice and</w:t>
      </w:r>
      <w:r>
        <w:rPr>
          <w:spacing w:val="-2"/>
          <w:sz w:val="20"/>
        </w:rPr>
        <w:t xml:space="preserve"> </w:t>
      </w:r>
      <w:r>
        <w:rPr>
          <w:sz w:val="20"/>
        </w:rPr>
        <w:t>guidance.</w:t>
      </w:r>
    </w:p>
    <w:p w:rsidR="00B3125E" w:rsidRDefault="00B3125E">
      <w:pPr>
        <w:pStyle w:val="BodyText"/>
        <w:spacing w:before="6"/>
        <w:rPr>
          <w:sz w:val="19"/>
        </w:rPr>
      </w:pPr>
    </w:p>
    <w:p w:rsidR="00B3125E" w:rsidRDefault="001A32BB">
      <w:pPr>
        <w:pStyle w:val="BodyText"/>
        <w:ind w:left="253"/>
      </w:pPr>
      <w:r>
        <w:t xml:space="preserve">If you have any further questions regarding this process, more information </w:t>
      </w:r>
      <w:proofErr w:type="gramStart"/>
      <w:r>
        <w:t>may be found</w:t>
      </w:r>
      <w:proofErr w:type="gramEnd"/>
      <w:r>
        <w:t xml:space="preserve"> </w:t>
      </w:r>
      <w:hyperlink r:id="rId11">
        <w:r>
          <w:rPr>
            <w:color w:val="0000FF"/>
            <w:u w:val="single" w:color="0000FF"/>
          </w:rPr>
          <w:t>here</w:t>
        </w:r>
      </w:hyperlink>
      <w:r>
        <w:t>.</w:t>
      </w:r>
    </w:p>
    <w:p w:rsidR="00B3125E" w:rsidRDefault="00B3125E">
      <w:pPr>
        <w:pStyle w:val="BodyText"/>
      </w:pPr>
    </w:p>
    <w:p w:rsidR="00B3125E" w:rsidRDefault="001A32BB">
      <w:pPr>
        <w:pStyle w:val="BodyText"/>
        <w:spacing w:before="99"/>
        <w:ind w:left="848"/>
        <w:jc w:val="center"/>
      </w:pPr>
      <w:bookmarkStart w:id="0" w:name="_GoBack"/>
      <w:bookmarkEnd w:id="0"/>
      <w:r>
        <w:rPr>
          <w:w w:val="99"/>
        </w:rPr>
        <w:t>1</w:t>
      </w:r>
    </w:p>
    <w:sectPr w:rsidR="00B3125E">
      <w:headerReference w:type="default" r:id="rId12"/>
      <w:type w:val="continuous"/>
      <w:pgSz w:w="11910" w:h="16840"/>
      <w:pgMar w:top="840" w:right="10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2BB" w:rsidRDefault="001A32BB" w:rsidP="001A32BB">
      <w:r>
        <w:separator/>
      </w:r>
    </w:p>
  </w:endnote>
  <w:endnote w:type="continuationSeparator" w:id="0">
    <w:p w:rsidR="001A32BB" w:rsidRDefault="001A32BB" w:rsidP="001A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2BB" w:rsidRDefault="001A32BB" w:rsidP="001A32BB">
      <w:r>
        <w:separator/>
      </w:r>
    </w:p>
  </w:footnote>
  <w:footnote w:type="continuationSeparator" w:id="0">
    <w:p w:rsidR="001A32BB" w:rsidRDefault="001A32BB" w:rsidP="001A3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BB" w:rsidRDefault="001A32BB">
    <w:pPr>
      <w:pStyle w:val="Header"/>
    </w:pPr>
    <w:r w:rsidRPr="00173248">
      <w:rPr>
        <w:noProof/>
      </w:rPr>
      <w:drawing>
        <wp:inline distT="0" distB="0" distL="0" distR="0" wp14:anchorId="58E2F979" wp14:editId="16897405">
          <wp:extent cx="5758815" cy="1264285"/>
          <wp:effectExtent l="0" t="0" r="0" b="0"/>
          <wp:docPr id="1" name="Picture 1" descr="UoC_Logo-01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UoC_Logo-01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264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94D03"/>
    <w:multiLevelType w:val="hybridMultilevel"/>
    <w:tmpl w:val="79B698EC"/>
    <w:lvl w:ilvl="0" w:tplc="136A4BE6">
      <w:start w:val="1"/>
      <w:numFmt w:val="decimal"/>
      <w:lvlText w:val="%1."/>
      <w:lvlJc w:val="left"/>
      <w:pPr>
        <w:ind w:left="962" w:hanging="709"/>
      </w:pPr>
      <w:rPr>
        <w:rFonts w:ascii="Verdana" w:eastAsia="Verdana" w:hAnsi="Verdana" w:cs="Verdana" w:hint="default"/>
        <w:spacing w:val="0"/>
        <w:w w:val="99"/>
        <w:sz w:val="20"/>
        <w:szCs w:val="20"/>
        <w:lang w:val="en-GB" w:eastAsia="en-GB" w:bidi="en-GB"/>
      </w:rPr>
    </w:lvl>
    <w:lvl w:ilvl="1" w:tplc="0F60448E">
      <w:numFmt w:val="bullet"/>
      <w:lvlText w:val="•"/>
      <w:lvlJc w:val="left"/>
      <w:pPr>
        <w:ind w:left="1878" w:hanging="709"/>
      </w:pPr>
      <w:rPr>
        <w:rFonts w:hint="default"/>
        <w:lang w:val="en-GB" w:eastAsia="en-GB" w:bidi="en-GB"/>
      </w:rPr>
    </w:lvl>
    <w:lvl w:ilvl="2" w:tplc="761A6626">
      <w:numFmt w:val="bullet"/>
      <w:lvlText w:val="•"/>
      <w:lvlJc w:val="left"/>
      <w:pPr>
        <w:ind w:left="2797" w:hanging="709"/>
      </w:pPr>
      <w:rPr>
        <w:rFonts w:hint="default"/>
        <w:lang w:val="en-GB" w:eastAsia="en-GB" w:bidi="en-GB"/>
      </w:rPr>
    </w:lvl>
    <w:lvl w:ilvl="3" w:tplc="5616176C">
      <w:numFmt w:val="bullet"/>
      <w:lvlText w:val="•"/>
      <w:lvlJc w:val="left"/>
      <w:pPr>
        <w:ind w:left="3715" w:hanging="709"/>
      </w:pPr>
      <w:rPr>
        <w:rFonts w:hint="default"/>
        <w:lang w:val="en-GB" w:eastAsia="en-GB" w:bidi="en-GB"/>
      </w:rPr>
    </w:lvl>
    <w:lvl w:ilvl="4" w:tplc="D6F63F08">
      <w:numFmt w:val="bullet"/>
      <w:lvlText w:val="•"/>
      <w:lvlJc w:val="left"/>
      <w:pPr>
        <w:ind w:left="4634" w:hanging="709"/>
      </w:pPr>
      <w:rPr>
        <w:rFonts w:hint="default"/>
        <w:lang w:val="en-GB" w:eastAsia="en-GB" w:bidi="en-GB"/>
      </w:rPr>
    </w:lvl>
    <w:lvl w:ilvl="5" w:tplc="88AA6F56">
      <w:numFmt w:val="bullet"/>
      <w:lvlText w:val="•"/>
      <w:lvlJc w:val="left"/>
      <w:pPr>
        <w:ind w:left="5553" w:hanging="709"/>
      </w:pPr>
      <w:rPr>
        <w:rFonts w:hint="default"/>
        <w:lang w:val="en-GB" w:eastAsia="en-GB" w:bidi="en-GB"/>
      </w:rPr>
    </w:lvl>
    <w:lvl w:ilvl="6" w:tplc="A7362DF6">
      <w:numFmt w:val="bullet"/>
      <w:lvlText w:val="•"/>
      <w:lvlJc w:val="left"/>
      <w:pPr>
        <w:ind w:left="6471" w:hanging="709"/>
      </w:pPr>
      <w:rPr>
        <w:rFonts w:hint="default"/>
        <w:lang w:val="en-GB" w:eastAsia="en-GB" w:bidi="en-GB"/>
      </w:rPr>
    </w:lvl>
    <w:lvl w:ilvl="7" w:tplc="95EC0CD8">
      <w:numFmt w:val="bullet"/>
      <w:lvlText w:val="•"/>
      <w:lvlJc w:val="left"/>
      <w:pPr>
        <w:ind w:left="7390" w:hanging="709"/>
      </w:pPr>
      <w:rPr>
        <w:rFonts w:hint="default"/>
        <w:lang w:val="en-GB" w:eastAsia="en-GB" w:bidi="en-GB"/>
      </w:rPr>
    </w:lvl>
    <w:lvl w:ilvl="8" w:tplc="2A4050CA">
      <w:numFmt w:val="bullet"/>
      <w:lvlText w:val="•"/>
      <w:lvlJc w:val="left"/>
      <w:pPr>
        <w:ind w:left="8309" w:hanging="709"/>
      </w:pPr>
      <w:rPr>
        <w:rFonts w:hint="default"/>
        <w:lang w:val="en-GB" w:eastAsia="en-GB" w:bidi="en-GB"/>
      </w:rPr>
    </w:lvl>
  </w:abstractNum>
  <w:abstractNum w:abstractNumId="1" w15:restartNumberingAfterBreak="0">
    <w:nsid w:val="70996D4B"/>
    <w:multiLevelType w:val="hybridMultilevel"/>
    <w:tmpl w:val="36E6946A"/>
    <w:lvl w:ilvl="0" w:tplc="3D58A1A8">
      <w:start w:val="1"/>
      <w:numFmt w:val="lowerRoman"/>
      <w:lvlText w:val="(%1)"/>
      <w:lvlJc w:val="left"/>
      <w:pPr>
        <w:ind w:left="1730" w:hanging="761"/>
      </w:pPr>
      <w:rPr>
        <w:rFonts w:ascii="Verdana" w:eastAsia="Verdana" w:hAnsi="Verdana" w:cs="Verdana" w:hint="default"/>
        <w:w w:val="99"/>
        <w:sz w:val="20"/>
        <w:szCs w:val="20"/>
        <w:lang w:val="en-GB" w:eastAsia="en-GB" w:bidi="en-GB"/>
      </w:rPr>
    </w:lvl>
    <w:lvl w:ilvl="1" w:tplc="56B6E498">
      <w:numFmt w:val="bullet"/>
      <w:lvlText w:val="•"/>
      <w:lvlJc w:val="left"/>
      <w:pPr>
        <w:ind w:left="2580" w:hanging="761"/>
      </w:pPr>
      <w:rPr>
        <w:rFonts w:hint="default"/>
        <w:lang w:val="en-GB" w:eastAsia="en-GB" w:bidi="en-GB"/>
      </w:rPr>
    </w:lvl>
    <w:lvl w:ilvl="2" w:tplc="615C8EEA">
      <w:numFmt w:val="bullet"/>
      <w:lvlText w:val="•"/>
      <w:lvlJc w:val="left"/>
      <w:pPr>
        <w:ind w:left="3421" w:hanging="761"/>
      </w:pPr>
      <w:rPr>
        <w:rFonts w:hint="default"/>
        <w:lang w:val="en-GB" w:eastAsia="en-GB" w:bidi="en-GB"/>
      </w:rPr>
    </w:lvl>
    <w:lvl w:ilvl="3" w:tplc="138681BA">
      <w:numFmt w:val="bullet"/>
      <w:lvlText w:val="•"/>
      <w:lvlJc w:val="left"/>
      <w:pPr>
        <w:ind w:left="4261" w:hanging="761"/>
      </w:pPr>
      <w:rPr>
        <w:rFonts w:hint="default"/>
        <w:lang w:val="en-GB" w:eastAsia="en-GB" w:bidi="en-GB"/>
      </w:rPr>
    </w:lvl>
    <w:lvl w:ilvl="4" w:tplc="3656EF62">
      <w:numFmt w:val="bullet"/>
      <w:lvlText w:val="•"/>
      <w:lvlJc w:val="left"/>
      <w:pPr>
        <w:ind w:left="5102" w:hanging="761"/>
      </w:pPr>
      <w:rPr>
        <w:rFonts w:hint="default"/>
        <w:lang w:val="en-GB" w:eastAsia="en-GB" w:bidi="en-GB"/>
      </w:rPr>
    </w:lvl>
    <w:lvl w:ilvl="5" w:tplc="49103802">
      <w:numFmt w:val="bullet"/>
      <w:lvlText w:val="•"/>
      <w:lvlJc w:val="left"/>
      <w:pPr>
        <w:ind w:left="5943" w:hanging="761"/>
      </w:pPr>
      <w:rPr>
        <w:rFonts w:hint="default"/>
        <w:lang w:val="en-GB" w:eastAsia="en-GB" w:bidi="en-GB"/>
      </w:rPr>
    </w:lvl>
    <w:lvl w:ilvl="6" w:tplc="F01CEC08">
      <w:numFmt w:val="bullet"/>
      <w:lvlText w:val="•"/>
      <w:lvlJc w:val="left"/>
      <w:pPr>
        <w:ind w:left="6783" w:hanging="761"/>
      </w:pPr>
      <w:rPr>
        <w:rFonts w:hint="default"/>
        <w:lang w:val="en-GB" w:eastAsia="en-GB" w:bidi="en-GB"/>
      </w:rPr>
    </w:lvl>
    <w:lvl w:ilvl="7" w:tplc="AAAC0846">
      <w:numFmt w:val="bullet"/>
      <w:lvlText w:val="•"/>
      <w:lvlJc w:val="left"/>
      <w:pPr>
        <w:ind w:left="7624" w:hanging="761"/>
      </w:pPr>
      <w:rPr>
        <w:rFonts w:hint="default"/>
        <w:lang w:val="en-GB" w:eastAsia="en-GB" w:bidi="en-GB"/>
      </w:rPr>
    </w:lvl>
    <w:lvl w:ilvl="8" w:tplc="A72853BC">
      <w:numFmt w:val="bullet"/>
      <w:lvlText w:val="•"/>
      <w:lvlJc w:val="left"/>
      <w:pPr>
        <w:ind w:left="8465" w:hanging="761"/>
      </w:pPr>
      <w:rPr>
        <w:rFonts w:hint="default"/>
        <w:lang w:val="en-GB" w:eastAsia="en-GB" w:bidi="en-GB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B3125E"/>
    <w:rsid w:val="001A32BB"/>
    <w:rsid w:val="00B3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2DBA1C-6405-44CC-AAA0-5BA61156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62" w:right="113" w:hanging="70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A32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2BB"/>
    <w:rPr>
      <w:rFonts w:ascii="Verdana" w:eastAsia="Verdana" w:hAnsi="Verdana" w:cs="Verdana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1A32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32BB"/>
    <w:rPr>
      <w:rFonts w:ascii="Verdana" w:eastAsia="Verdana" w:hAnsi="Verdana" w:cs="Verdana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su.me/suppor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.cumbria.ac.uk/media/MyCumbria/Documents/3d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y.cumbria.ac.uk/Student-Life/Your-Studies/Assessment-and-Exams/Malpractice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ucsu.me/suppor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.cumbria.ac.uk/Student-Life/Your-Studies/Assessment-and-Exams/Appeal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2577</Characters>
  <Application>Microsoft Office Word</Application>
  <DocSecurity>0</DocSecurity>
  <Lines>21</Lines>
  <Paragraphs>6</Paragraphs>
  <ScaleCrop>false</ScaleCrop>
  <Company>University of Cumbria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</dc:title>
  <dc:creator>Katie Park-Walford</dc:creator>
  <cp:lastModifiedBy>Forrester, Suzanne</cp:lastModifiedBy>
  <cp:revision>2</cp:revision>
  <dcterms:created xsi:type="dcterms:W3CDTF">2019-02-06T12:30:00Z</dcterms:created>
  <dcterms:modified xsi:type="dcterms:W3CDTF">2019-02-06T12:31:00Z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2019-02-06T00:00:00Z</vt:filetime>
  </property>
</Properties>
</file>